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Уважаемый Андрей </w:t>
      </w:r>
      <w:r>
        <w:t xml:space="preserve">Иванович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</w:t>
      </w:r>
      <w:r>
        <w:rPr>
          <w:b w:val="0"/>
          <w:sz w:val="28"/>
          <w:szCs w:val="28"/>
        </w:rPr>
        <w:t xml:space="preserve">ь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а1 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5</cp:revision>
  <dcterms:created xsi:type="dcterms:W3CDTF">2023-12-25T04:01:00Z</dcterms:created>
  <dcterms:modified xsi:type="dcterms:W3CDTF">2024-10-28T04:08:20Z</dcterms:modified>
  <cp:version>1048576</cp:version>
</cp:coreProperties>
</file>